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 w:before="0"/>
        <w:jc w:val="center"/>
      </w:pPr>
      <w:r>
        <w:rPr>
          <w:rFonts w:ascii="Arial" w:cs="Arial" w:eastAsia="Arial" w:hAnsi="Arial"/>
          <w:b/>
          <w:bCs/>
          <w:sz w:val="56"/>
          <w:szCs w:val="56"/>
        </w:rPr>
        <w:t xml:space="preserve">街边手抓饼配方</w:t>
      </w:r>
    </w:p>
    <w:p>
      <w:pPr>
        <w:spacing w:after="400"/>
        <w:jc w:val="center"/>
      </w:pPr>
      <w:r>
        <w:rPr>
          <w:i/>
          <w:iCs/>
          <w:color w:val="888888"/>
          <w:sz w:val="24"/>
          <w:szCs w:val="24"/>
        </w:rPr>
        <w:t xml:space="preserve">外酥里嫩 | 层层分明 | 香气四溢</w:t>
      </w:r>
    </w:p>
    <w:p>
      <w:pPr>
        <w:pStyle w:val="Heading1"/>
      </w:pPr>
      <w:r>
        <w:t xml:space="preserve">一、产品简介</w:t>
      </w:r>
    </w:p>
    <w:p>
      <w:pPr>
        <w:spacing w:after="120"/>
      </w:pPr>
      <w:r>
        <w:t xml:space="preserve">手抓饼源自葱油饼，后经台湾改良后风靡全国。其最大特点是饼皮酥脆、层层分明，可以直接用手抓着吃，因此得名。手抓饼可搭配鸡蛋、香肠、生菜、培根等食材，是早餐、夜市的热门单品。</w:t>
      </w:r>
    </w:p>
    <w:p>
      <w:pPr>
        <w:pStyle w:val="Heading1"/>
      </w:pPr>
      <w:r>
        <w:t xml:space="preserve">二、原料配方</w:t>
      </w:r>
    </w:p>
    <w:p>
      <w:pPr>
        <w:pStyle w:val="Heading2"/>
      </w:pPr>
      <w:r>
        <w:t xml:space="preserve">1. 面饼原料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原料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用量（可做10张饼）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高筋面粉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500克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温水（约40°C）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280-300毫升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盐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6克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细砂糖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20克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食用油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30毫升</w:t>
            </w:r>
          </w:p>
        </w:tc>
      </w:tr>
    </w:tbl>
    <w:p>
      <w:pPr>
        <w:pStyle w:val="Heading2"/>
        <w:spacing w:before="200"/>
      </w:pPr>
      <w:r>
        <w:t xml:space="preserve">2. 油酥原料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原料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用量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面粉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60克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热油（约180°C）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120毫升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五香粉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5克</w:t>
            </w:r>
          </w:p>
        </w:tc>
      </w:tr>
    </w:tbl>
    <w:p>
      <w:pPr>
        <w:pStyle w:val="Heading2"/>
        <w:spacing w:before="200"/>
      </w:pPr>
      <w:r>
        <w:t xml:space="preserve">3. 常见配料</w:t>
      </w:r>
    </w:p>
    <w:p>
      <w:pPr>
        <w:pStyle w:val="ListParagraph"/>
        <w:numPr>
          <w:ilvl w:val="0"/>
          <w:numId w:val="2"/>
        </w:numPr>
      </w:pPr>
      <w:r>
        <w:t xml:space="preserve">鸡蛋：1个/张（煎至半熟）</w:t>
      </w:r>
    </w:p>
    <w:p>
      <w:pPr>
        <w:pStyle w:val="ListParagraph"/>
        <w:numPr>
          <w:ilvl w:val="0"/>
          <w:numId w:val="2"/>
        </w:numPr>
      </w:pPr>
      <w:r>
        <w:t xml:space="preserve">火腿肠：1根/张（切半煎香）</w:t>
      </w:r>
    </w:p>
    <w:p>
      <w:pPr>
        <w:pStyle w:val="ListParagraph"/>
        <w:numPr>
          <w:ilvl w:val="0"/>
          <w:numId w:val="2"/>
        </w:numPr>
      </w:pPr>
      <w:r>
        <w:t xml:space="preserve">生菜：2-3片/张</w:t>
      </w:r>
    </w:p>
    <w:p>
      <w:pPr>
        <w:pStyle w:val="ListParagraph"/>
        <w:numPr>
          <w:ilvl w:val="0"/>
          <w:numId w:val="2"/>
        </w:numPr>
      </w:pPr>
      <w:r>
        <w:t xml:space="preserve">煎饼酱/甜面酱：适量</w:t>
      </w:r>
    </w:p>
    <w:p>
      <w:pPr>
        <w:pStyle w:val="ListParagraph"/>
        <w:numPr>
          <w:ilvl w:val="0"/>
          <w:numId w:val="2"/>
        </w:numPr>
      </w:pPr>
      <w:r>
        <w:t xml:space="preserve">辣椒酱：适量</w:t>
      </w:r>
    </w:p>
    <w:p>
      <w:pPr>
        <w:pStyle w:val="ListParagraph"/>
        <w:numPr>
          <w:ilvl w:val="0"/>
          <w:numId w:val="2"/>
        </w:numPr>
      </w:pPr>
      <w:r>
        <w:t xml:space="preserve">番茄酱：适量</w:t>
      </w:r>
    </w:p>
    <w:p>
      <w:pPr>
        <w:pStyle w:val="Heading1"/>
      </w:pPr>
      <w:r>
        <w:t xml:space="preserve">三、制作步骤</w:t>
      </w:r>
    </w:p>
    <w:p>
      <w:pPr>
        <w:pStyle w:val="Heading2"/>
      </w:pPr>
      <w:r>
        <w:t xml:space="preserve">第一步：制作面团</w:t>
      </w:r>
    </w:p>
    <w:p>
      <w:pPr>
        <w:pStyle w:val="ListParagraph"/>
        <w:numPr>
          <w:ilvl w:val="0"/>
          <w:numId w:val="3"/>
        </w:numPr>
      </w:pPr>
      <w:r>
        <w:t xml:space="preserve">将面粉倒入大盆中，加入盐和细砂糖搅匀。</w:t>
      </w:r>
    </w:p>
    <w:p>
      <w:pPr>
        <w:pStyle w:val="ListParagraph"/>
        <w:numPr>
          <w:ilvl w:val="0"/>
          <w:numId w:val="3"/>
        </w:numPr>
      </w:pPr>
      <w:r>
        <w:t xml:space="preserve">慢慢加入温水，边加边搅拌成絮状。</w:t>
      </w:r>
    </w:p>
    <w:p>
      <w:pPr>
        <w:pStyle w:val="ListParagraph"/>
        <w:numPr>
          <w:ilvl w:val="0"/>
          <w:numId w:val="3"/>
        </w:numPr>
      </w:pPr>
      <w:r>
        <w:t xml:space="preserve">加入食用油，揉成光滑的面团（约10分钟）。</w:t>
      </w:r>
    </w:p>
    <w:p>
      <w:pPr>
        <w:pStyle w:val="ListParagraph"/>
        <w:numPr>
          <w:ilvl w:val="0"/>
          <w:numId w:val="3"/>
        </w:numPr>
      </w:pPr>
      <w:r>
        <w:t xml:space="preserve">盖上保鲜膜，醒发30分钟。</w:t>
      </w:r>
    </w:p>
    <w:p>
      <w:pPr>
        <w:pStyle w:val="Heading2"/>
        <w:spacing w:before="200"/>
      </w:pPr>
      <w:r>
        <w:t xml:space="preserve">第二步：制作油酥</w:t>
      </w:r>
    </w:p>
    <w:p>
      <w:pPr>
        <w:pStyle w:val="ListParagraph"/>
        <w:numPr>
          <w:ilvl w:val="0"/>
          <w:numId w:val="3"/>
        </w:numPr>
      </w:pPr>
      <w:r>
        <w:t xml:space="preserve">将面粉和五香粉放入碗中混匀。</w:t>
      </w:r>
    </w:p>
    <w:p>
      <w:pPr>
        <w:pStyle w:val="ListParagraph"/>
        <w:numPr>
          <w:ilvl w:val="0"/>
          <w:numId w:val="3"/>
        </w:numPr>
      </w:pPr>
      <w:r>
        <w:t xml:space="preserve">将油烧至180°C左右，直接浇在面粉上。</w:t>
      </w:r>
    </w:p>
    <w:p>
      <w:pPr>
        <w:pStyle w:val="ListParagraph"/>
        <w:numPr>
          <w:ilvl w:val="0"/>
          <w:numId w:val="3"/>
        </w:numPr>
      </w:pPr>
      <w:r>
        <w:t xml:space="preserve">迅速搅拌均匀，形成稀稠适中的油酥，放凉备用。</w:t>
      </w:r>
    </w:p>
    <w:p>
      <w:pPr>
        <w:pStyle w:val="Heading2"/>
        <w:spacing w:before="200"/>
      </w:pPr>
      <w:r>
        <w:t xml:space="preserve">第三步：面团分割与擀制</w:t>
      </w:r>
    </w:p>
    <w:p>
      <w:pPr>
        <w:pStyle w:val="ListParagraph"/>
        <w:numPr>
          <w:ilvl w:val="0"/>
          <w:numId w:val="3"/>
        </w:numPr>
      </w:pPr>
      <w:r>
        <w:t xml:space="preserve">将醒好的面团揉匀，分成10个等份（约80克/个）。</w:t>
      </w:r>
    </w:p>
    <w:p>
      <w:pPr>
        <w:pStyle w:val="ListParagraph"/>
        <w:numPr>
          <w:ilvl w:val="0"/>
          <w:numId w:val="3"/>
        </w:numPr>
      </w:pPr>
      <w:r>
        <w:t xml:space="preserve">取一个面团，擀成薄薄的长方形面皮（约30cm×20cm）。</w:t>
      </w:r>
    </w:p>
    <w:p>
      <w:pPr>
        <w:pStyle w:val="ListParagraph"/>
        <w:numPr>
          <w:ilvl w:val="0"/>
          <w:numId w:val="3"/>
        </w:numPr>
      </w:pPr>
      <w:r>
        <w:t xml:space="preserve">在面皮上均匀涂抹一层油酥。</w:t>
      </w:r>
    </w:p>
    <w:p>
      <w:pPr>
        <w:pStyle w:val="ListParagraph"/>
        <w:numPr>
          <w:ilvl w:val="0"/>
          <w:numId w:val="3"/>
        </w:numPr>
      </w:pPr>
      <w:r>
        <w:t xml:space="preserve">从一端开始卷起，卷成细长条。</w:t>
      </w:r>
    </w:p>
    <w:p>
      <w:pPr>
        <w:pStyle w:val="ListParagraph"/>
        <w:numPr>
          <w:ilvl w:val="0"/>
          <w:numId w:val="3"/>
        </w:numPr>
      </w:pPr>
      <w:r>
        <w:t xml:space="preserve">将长条从一端盘起成螺旋状，按扁后再擀成薄饼。</w:t>
      </w:r>
    </w:p>
    <w:p>
      <w:pPr>
        <w:pStyle w:val="Heading2"/>
        <w:spacing w:before="200"/>
      </w:pPr>
      <w:r>
        <w:t xml:space="preserve">第四步：煎制</w:t>
      </w:r>
    </w:p>
    <w:p>
      <w:pPr>
        <w:pStyle w:val="ListParagraph"/>
        <w:numPr>
          <w:ilvl w:val="0"/>
          <w:numId w:val="3"/>
        </w:numPr>
      </w:pPr>
      <w:r>
        <w:t xml:space="preserve">平底锅或电饼铛预热，刷上一层薄油。</w:t>
      </w:r>
    </w:p>
    <w:p>
      <w:pPr>
        <w:pStyle w:val="ListParagraph"/>
        <w:numPr>
          <w:ilvl w:val="0"/>
          <w:numId w:val="3"/>
        </w:numPr>
      </w:pPr>
      <w:r>
        <w:t xml:space="preserve">放入饼胚，中小火煎制。</w:t>
      </w:r>
    </w:p>
    <w:p>
      <w:pPr>
        <w:pStyle w:val="ListParagraph"/>
        <w:numPr>
          <w:ilvl w:val="0"/>
          <w:numId w:val="3"/>
        </w:numPr>
      </w:pPr>
      <w:r>
        <w:t xml:space="preserve">待底部金黄后翻面，继续煎至另一面金黄。</w:t>
      </w:r>
    </w:p>
    <w:p>
      <w:pPr>
        <w:pStyle w:val="ListParagraph"/>
        <w:numPr>
          <w:ilvl w:val="0"/>
          <w:numId w:val="3"/>
        </w:numPr>
      </w:pPr>
      <w:r>
        <w:t xml:space="preserve">趁热用筷子或铲子将饼从中间向外轻轻拍打，使其层层分离。</w:t>
      </w:r>
    </w:p>
    <w:p>
      <w:pPr>
        <w:pStyle w:val="Heading2"/>
        <w:spacing w:before="200"/>
      </w:pPr>
      <w:r>
        <w:t xml:space="preserve">第五步：搭配与出品</w:t>
      </w:r>
    </w:p>
    <w:p>
      <w:pPr>
        <w:pStyle w:val="ListParagraph"/>
        <w:numPr>
          <w:ilvl w:val="0"/>
          <w:numId w:val="3"/>
        </w:numPr>
      </w:pPr>
      <w:r>
        <w:t xml:space="preserve">煎好的饼放在盘子上，趁热打一个鸡蛋在饼上。</w:t>
      </w:r>
    </w:p>
    <w:p>
      <w:pPr>
        <w:pStyle w:val="ListParagraph"/>
        <w:numPr>
          <w:ilvl w:val="0"/>
          <w:numId w:val="3"/>
        </w:numPr>
      </w:pPr>
      <w:r>
        <w:t xml:space="preserve">翻面让鸡蛋煎熟，或盖盖焖至鸡蛋凝固。</w:t>
      </w:r>
    </w:p>
    <w:p>
      <w:pPr>
        <w:pStyle w:val="ListParagraph"/>
        <w:numPr>
          <w:ilvl w:val="0"/>
          <w:numId w:val="3"/>
        </w:numPr>
      </w:pPr>
      <w:r>
        <w:t xml:space="preserve">抹上喜欢的酱料，放上火腿肠、生菜。</w:t>
      </w:r>
    </w:p>
    <w:p>
      <w:pPr>
        <w:pStyle w:val="ListParagraph"/>
        <w:numPr>
          <w:ilvl w:val="0"/>
          <w:numId w:val="3"/>
        </w:numPr>
      </w:pPr>
      <w:r>
        <w:t xml:space="preserve">卷起即可享用，也可以直接抓着吃。</w:t>
      </w:r>
    </w:p>
    <w:p>
      <w:pPr>
        <w:pStyle w:val="Heading1"/>
        <w:spacing w:before="300"/>
      </w:pPr>
      <w:r>
        <w:t xml:space="preserve">四、成功秘诀</w:t>
      </w:r>
    </w:p>
    <w:p>
      <w:pPr>
        <w:pStyle w:val="ListParagraph"/>
        <w:numPr>
          <w:ilvl w:val="0"/>
          <w:numId w:val="4"/>
        </w:numPr>
      </w:pPr>
      <w:r>
        <w:t xml:space="preserve">面团要揉光滑且醒发到位，烙出的饼才会柔软有弹性。</w:t>
      </w:r>
    </w:p>
    <w:p>
      <w:pPr>
        <w:pStyle w:val="ListParagraph"/>
        <w:numPr>
          <w:ilvl w:val="0"/>
          <w:numId w:val="4"/>
        </w:numPr>
      </w:pPr>
      <w:r>
        <w:t xml:space="preserve">油酥是层次分明的关键，油温要够热才能激发出香味。</w:t>
      </w:r>
    </w:p>
    <w:p>
      <w:pPr>
        <w:pStyle w:val="ListParagraph"/>
        <w:numPr>
          <w:ilvl w:val="0"/>
          <w:numId w:val="4"/>
        </w:numPr>
      </w:pPr>
      <w:r>
        <w:t xml:space="preserve">擀面皮时撒些干面粉防粘，但不宜太多以免影响层次。</w:t>
      </w:r>
    </w:p>
    <w:p>
      <w:pPr>
        <w:pStyle w:val="ListParagraph"/>
        <w:numPr>
          <w:ilvl w:val="0"/>
          <w:numId w:val="4"/>
        </w:numPr>
      </w:pPr>
      <w:r>
        <w:t xml:space="preserve">卷面团时要卷紧，这样层次才会多且分明。</w:t>
      </w:r>
    </w:p>
    <w:p>
      <w:pPr>
        <w:pStyle w:val="ListParagraph"/>
        <w:numPr>
          <w:ilvl w:val="0"/>
          <w:numId w:val="4"/>
        </w:numPr>
      </w:pPr>
      <w:r>
        <w:t xml:space="preserve">煎饼时火候不要太急，中小火慢煎，外酥里嫩。</w:t>
      </w:r>
    </w:p>
    <w:p>
      <w:pPr>
        <w:pStyle w:val="ListParagraph"/>
        <w:numPr>
          <w:ilvl w:val="0"/>
          <w:numId w:val="4"/>
        </w:numPr>
      </w:pPr>
      <w:r>
        <w:t xml:space="preserve">一次可多做些饼胚，冰箱冷冻保存，随吃随煎。</w:t>
      </w:r>
    </w:p>
    <w:p>
      <w:pPr>
        <w:pStyle w:val="Heading1"/>
        <w:spacing w:before="300"/>
      </w:pPr>
      <w:r>
        <w:t xml:space="preserve">五、成本与定价参考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项目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参考数据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单张饼胚成本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约0.8-1.2元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加蛋加肠套餐成本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约2.5-3.5元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建议零售价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6-10元/份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毛利率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约60%-70%</w:t>
            </w:r>
          </w:p>
        </w:tc>
      </w:tr>
    </w:tbl>
    <w:p>
      <w:pPr>
        <w:spacing w:before="400"/>
        <w:jc w:val="center"/>
      </w:pPr>
      <w:r>
        <w:rPr>
          <w:i/>
          <w:iCs/>
          <w:color w:val="C75C2E"/>
        </w:rPr>
        <w:t xml:space="preserve">—— 祝您创业成功，生意兴隆！——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C75C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2026-04-16T16:20:23.234Z</dcterms:created>
  <dcterms:modified xsi:type="dcterms:W3CDTF">2026-04-16T16:20:23.235Z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